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中铁建（北京）物业管理有限公司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房地产经纪业务暂行管理规定</w:t>
      </w: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受不断上涨的人力、物料等成本压力影响，整个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传统</w:t>
      </w:r>
      <w:r>
        <w:rPr>
          <w:rFonts w:hint="eastAsia" w:ascii="仿宋_GB2312" w:hAnsi="仿宋_GB2312" w:eastAsia="仿宋_GB2312" w:cs="仿宋_GB2312"/>
          <w:sz w:val="30"/>
          <w:szCs w:val="30"/>
        </w:rPr>
        <w:t>物业行业盈利能力逐年降低，迫使物业企业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大力</w:t>
      </w:r>
      <w:r>
        <w:rPr>
          <w:rFonts w:hint="eastAsia" w:ascii="仿宋_GB2312" w:hAnsi="仿宋_GB2312" w:eastAsia="仿宋_GB2312" w:cs="仿宋_GB2312"/>
          <w:sz w:val="30"/>
          <w:szCs w:val="30"/>
        </w:rPr>
        <w:t>发展多种经营业务，不断创新赢利模式，增加经营收入，已经成为物业管理行业的共识。近年来，一些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物业</w:t>
      </w:r>
      <w:r>
        <w:rPr>
          <w:rFonts w:hint="eastAsia" w:ascii="仿宋_GB2312" w:hAnsi="仿宋_GB2312" w:eastAsia="仿宋_GB2312" w:cs="仿宋_GB2312"/>
          <w:sz w:val="30"/>
          <w:szCs w:val="30"/>
        </w:rPr>
        <w:t>企业通过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开展房地产经纪业务极大提高了多种经营的盈利能力。</w:t>
      </w: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经广泛市场调研，2016年5月公司领导班子决议（[2016]8号）通过，决定开展房地产经纪业务试点，</w:t>
      </w:r>
      <w:r>
        <w:rPr>
          <w:rFonts w:hint="eastAsia" w:ascii="仿宋_GB2312" w:hAnsi="仿宋_GB2312" w:eastAsia="仿宋_GB2312" w:cs="仿宋_GB2312"/>
          <w:sz w:val="30"/>
          <w:szCs w:val="30"/>
        </w:rPr>
        <w:t>为业主提供优质的多元化服务。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房地产经纪业务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范围包括：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尾房出售、二手房屋买卖、房屋租赁、房屋托管、车位出租出售、代办贷款、代办产权过户、地产政策咨询等。</w:t>
      </w: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为规范各单位房地产经纪业务的发展，特制订此暂行规定，以下简称“本规定”。</w:t>
      </w: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adjustRightInd w:val="0"/>
        <w:snapToGrid w:val="0"/>
        <w:spacing w:line="360" w:lineRule="auto"/>
        <w:ind w:left="0"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br w:type="page"/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各单位负责人承担本单位经纪业务的监督和管理职责，经纪业务流程纳入日常管理流程，合法依规开展。 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各单位应于2017年3月31日前，完成房地产经纪业务的营业执照增项、建委备案以及其他政策要求。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具备房地产经纪业务资质的单位，应于本规定发布60日内完成物业租售中心的组建，正式开始营业。租售中心的账目单独核算，由业务负责人和单位负责人双审批。成本核算应摊销所有直接成本，固定资产按三年摊销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各单位房地产经纪业务第一负责人必须入职公司成为正式员工，给予项目主管级待遇，薪酬由基本工资（当地最低工资标准）+绩效工资+提成+年终超额奖组成，其中绩效工资和年终超额奖待年终完成经营指标后发放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房地产经纪业务的经营指标由总公司下达，分为T1必保值、T2努力值、T3挑战值。年终核算完成经纪业务各项指标的单位，可发放房地产经纪业务负责人绩效工资，未完成指标不予发放。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房地产经纪业务团队的年终超额奖，以实际完成利润超过T1值的数值为基数，采用跳点计提的方式，按以下比例计算：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20" w:firstLineChars="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利润大于T1值、小于或等于T2值的部分，比例为40%；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20" w:firstLineChars="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利润大于T2值、小于或等于T3值的部分，比例为30%；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20" w:firstLineChars="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利润大于T3值的部分，比例为20%。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各单位的房地产经纪业务年终超额奖，总额不得高于本单位房地产经纪业务利润T1值。其分配和发放由房地产经纪业务负责人提案，各单位领导班子审议通过后执行，同时报总公司人力资源部和客服部备案。未完成指标的单位，将进行绩效考核，必要时对负责人做调岗调薪处理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租售中心的运营模式</w:t>
      </w:r>
    </w:p>
    <w:p>
      <w:pPr>
        <w:pStyle w:val="11"/>
        <w:numPr>
          <w:ilvl w:val="0"/>
          <w:numId w:val="3"/>
        </w:numPr>
        <w:spacing w:line="360" w:lineRule="auto"/>
        <w:ind w:left="0" w:leftChars="0" w:firstLine="218" w:firstLineChars="91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无底薪制（推荐采用，见附件方案）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置业顾问的收入完全由佣金组成，网络端口费用由置业顾问自理，提成比例按成交额制定，采用通提的方式，从30%起至60%封顶。</w:t>
      </w:r>
    </w:p>
    <w:p>
      <w:pPr>
        <w:pStyle w:val="11"/>
        <w:numPr>
          <w:ilvl w:val="0"/>
          <w:numId w:val="3"/>
        </w:numPr>
        <w:spacing w:line="360" w:lineRule="auto"/>
        <w:ind w:left="0" w:leftChars="0" w:firstLine="218" w:firstLineChars="91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底薪制（备选，见附件方案）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置业顾问的收入由底薪+提成构成，底薪高于当地最低工资标准，提成比例按成交额制定，采用跳点计提从15%起提至35%封顶。 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因各地成交价格差异较大，具体采取的运营模式和各档次佣金分成比例，由各单位根据本规定第八条的原则科学制定。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原则上公司开展房地产经纪业务，税后利润（含6%管理费）不低于其营业收入的20%。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   第九条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各单位应关注国家、地方房地产业务政策变化，所在城市、周边区域和本项目二手房成交情况，定期更新本项目房业主变更率等信息。利用一年的摸索实践，房地产经纪业务达到本项目业务成交总量的20%，并辐射周边楼盘的目标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第十条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本规定的附件作为本规定的一部分，具备同等效力。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第十一条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本规定由总公司客服部负责解释。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第十二条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本规定自颁布之日起施行。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附件：《中铁建（北京）物业管理有限公司租售中心运营方案》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600"/>
        <w:jc w:val="left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sectPr>
      <w:headerReference r:id="rId3" w:type="default"/>
      <w:pgSz w:w="11906" w:h="16838"/>
      <w:pgMar w:top="102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Microsoft JhengHei UI Light">
    <w:altName w:val="PMingLiU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11754"/>
    <w:multiLevelType w:val="singleLevel"/>
    <w:tmpl w:val="58A11754"/>
    <w:lvl w:ilvl="0" w:tentative="0">
      <w:start w:val="1"/>
      <w:numFmt w:val="chineseCounting"/>
      <w:suff w:val="nothing"/>
      <w:lvlText w:val="%1、"/>
      <w:lvlJc w:val="left"/>
      <w:pPr>
        <w:ind w:left="0" w:leftChars="0" w:firstLine="420" w:firstLineChars="0"/>
      </w:pPr>
      <w:rPr>
        <w:rFonts w:hint="eastAsia"/>
      </w:rPr>
    </w:lvl>
  </w:abstractNum>
  <w:abstractNum w:abstractNumId="1">
    <w:nsid w:val="58A2A492"/>
    <w:multiLevelType w:val="singleLevel"/>
    <w:tmpl w:val="58A2A492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70774486"/>
    <w:multiLevelType w:val="multilevel"/>
    <w:tmpl w:val="70774486"/>
    <w:lvl w:ilvl="0" w:tentative="0">
      <w:start w:val="1"/>
      <w:numFmt w:val="decimal"/>
      <w:pStyle w:val="2"/>
      <w:isLgl/>
      <w:lvlText w:val="%1"/>
      <w:lvlJc w:val="left"/>
      <w:pPr>
        <w:tabs>
          <w:tab w:val="left" w:pos="960"/>
        </w:tabs>
        <w:ind w:left="960" w:hanging="960"/>
      </w:pPr>
      <w:rPr>
        <w:rFonts w:hint="default" w:ascii="Arial" w:hAnsi="Arial" w:cs="Arial"/>
        <w:b/>
        <w:bCs/>
        <w:i w:val="0"/>
        <w:iCs w:val="0"/>
        <w:sz w:val="24"/>
        <w:szCs w:val="24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960"/>
        </w:tabs>
        <w:ind w:left="960" w:hanging="9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960"/>
        </w:tabs>
        <w:ind w:left="960" w:hanging="9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tabs>
          <w:tab w:val="left" w:pos="960"/>
        </w:tabs>
        <w:ind w:left="960" w:hanging="9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4" w:tentative="0">
      <w:start w:val="1"/>
      <w:numFmt w:val="upperLetter"/>
      <w:lvlText w:val="%5"/>
      <w:lvlJc w:val="left"/>
      <w:pPr>
        <w:tabs>
          <w:tab w:val="left" w:pos="960"/>
        </w:tabs>
        <w:ind w:left="960" w:hanging="48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5" w:tentative="0">
      <w:start w:val="1"/>
      <w:numFmt w:val="lowerLetter"/>
      <w:lvlText w:val="%6"/>
      <w:lvlJc w:val="left"/>
      <w:pPr>
        <w:tabs>
          <w:tab w:val="left" w:pos="960"/>
        </w:tabs>
        <w:ind w:left="960" w:hanging="3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6" w:tentative="0">
      <w:start w:val="1"/>
      <w:numFmt w:val="none"/>
      <w:lvlText w:val="%7"/>
      <w:lvlJc w:val="left"/>
      <w:pPr>
        <w:tabs>
          <w:tab w:val="left" w:pos="1320"/>
        </w:tabs>
        <w:ind w:left="9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7" w:tentative="0">
      <w:start w:val="1"/>
      <w:numFmt w:val="none"/>
      <w:lvlText w:val=""/>
      <w:lvlJc w:val="left"/>
      <w:pPr>
        <w:tabs>
          <w:tab w:val="left" w:pos="1320"/>
        </w:tabs>
        <w:ind w:left="960"/>
      </w:pPr>
      <w:rPr>
        <w:rFonts w:hint="eastAsia"/>
      </w:rPr>
    </w:lvl>
    <w:lvl w:ilvl="8" w:tentative="0">
      <w:start w:val="1"/>
      <w:numFmt w:val="none"/>
      <w:lvlText w:val=""/>
      <w:lvlJc w:val="left"/>
      <w:pPr>
        <w:tabs>
          <w:tab w:val="left" w:pos="360"/>
        </w:tabs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4117F"/>
    <w:rsid w:val="02C166AE"/>
    <w:rsid w:val="02C45698"/>
    <w:rsid w:val="03CC5ECA"/>
    <w:rsid w:val="054E0160"/>
    <w:rsid w:val="05E618C4"/>
    <w:rsid w:val="083544E1"/>
    <w:rsid w:val="0AF17E80"/>
    <w:rsid w:val="14E25F28"/>
    <w:rsid w:val="16B4117F"/>
    <w:rsid w:val="189317E1"/>
    <w:rsid w:val="18B40170"/>
    <w:rsid w:val="195B59A7"/>
    <w:rsid w:val="1E5304D6"/>
    <w:rsid w:val="1EFD0E66"/>
    <w:rsid w:val="22153FF3"/>
    <w:rsid w:val="23402ADB"/>
    <w:rsid w:val="239405BF"/>
    <w:rsid w:val="25A67EF8"/>
    <w:rsid w:val="25B7376D"/>
    <w:rsid w:val="269C7875"/>
    <w:rsid w:val="28B55D43"/>
    <w:rsid w:val="2BFE2C3D"/>
    <w:rsid w:val="2C8F7B68"/>
    <w:rsid w:val="2DEA5D93"/>
    <w:rsid w:val="3055459D"/>
    <w:rsid w:val="323B42EE"/>
    <w:rsid w:val="32986BAF"/>
    <w:rsid w:val="32EB5D55"/>
    <w:rsid w:val="34C346A0"/>
    <w:rsid w:val="34E265E7"/>
    <w:rsid w:val="381D1CA0"/>
    <w:rsid w:val="382A1A43"/>
    <w:rsid w:val="39413192"/>
    <w:rsid w:val="3D7F3244"/>
    <w:rsid w:val="3F3B021B"/>
    <w:rsid w:val="43640C1A"/>
    <w:rsid w:val="454833E7"/>
    <w:rsid w:val="463E7C60"/>
    <w:rsid w:val="475732C3"/>
    <w:rsid w:val="47827BB1"/>
    <w:rsid w:val="49BD21DC"/>
    <w:rsid w:val="4A39794E"/>
    <w:rsid w:val="4BA7702D"/>
    <w:rsid w:val="4E911BE7"/>
    <w:rsid w:val="4FD11A0E"/>
    <w:rsid w:val="51C207A6"/>
    <w:rsid w:val="52AB4331"/>
    <w:rsid w:val="59C4060A"/>
    <w:rsid w:val="5E4E433B"/>
    <w:rsid w:val="5F9D4F44"/>
    <w:rsid w:val="65D75E98"/>
    <w:rsid w:val="69B0356F"/>
    <w:rsid w:val="69ED7058"/>
    <w:rsid w:val="79D22965"/>
    <w:rsid w:val="7F4128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numPr>
        <w:ilvl w:val="0"/>
        <w:numId w:val="1"/>
      </w:numPr>
      <w:adjustRightInd w:val="0"/>
      <w:spacing w:line="400" w:lineRule="exact"/>
      <w:jc w:val="left"/>
      <w:textAlignment w:val="baseline"/>
      <w:outlineLvl w:val="0"/>
    </w:pPr>
    <w:rPr>
      <w:rFonts w:ascii="Times New Roman" w:hAnsi="Times New Roman" w:eastAsia="黑体" w:cs="Times New Roman"/>
      <w:kern w:val="0"/>
      <w:sz w:val="24"/>
      <w:szCs w:val="24"/>
    </w:rPr>
  </w:style>
  <w:style w:type="paragraph" w:styleId="3">
    <w:name w:val="heading 2"/>
    <w:basedOn w:val="2"/>
    <w:next w:val="1"/>
    <w:unhideWhenUsed/>
    <w:qFormat/>
    <w:uiPriority w:val="0"/>
    <w:pPr>
      <w:numPr>
        <w:ilvl w:val="1"/>
      </w:numPr>
      <w:jc w:val="both"/>
      <w:outlineLvl w:val="1"/>
    </w:pPr>
    <w:rPr>
      <w:rFonts w:eastAsia="宋体"/>
    </w:rPr>
  </w:style>
  <w:style w:type="paragraph" w:styleId="4">
    <w:name w:val="heading 3"/>
    <w:basedOn w:val="3"/>
    <w:next w:val="1"/>
    <w:unhideWhenUsed/>
    <w:qFormat/>
    <w:uiPriority w:val="0"/>
    <w:pPr>
      <w:numPr>
        <w:ilvl w:val="2"/>
      </w:numPr>
      <w:tabs>
        <w:tab w:val="left" w:pos="360"/>
        <w:tab w:val="clear" w:pos="960"/>
      </w:tabs>
      <w:outlineLvl w:val="2"/>
    </w:p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微软雅黑" w:hAnsi="微软雅黑" w:eastAsia="微软雅黑" w:cs="微软雅黑"/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2017-02-08T02:41:00Z</dcterms:created>
  <dc:creator>刘毅</dc:creator>
  <cp:lastModifiedBy>路璐</cp:lastModifiedBy>
  <cp:lastPrinted>2017-02-13T07:48:00Z</cp:lastPrinted>
  <dcterms:modified xsi:type="dcterms:W3CDTF">2017-02-14T08:50:16Z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